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Symbolic thought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Mental images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Memory capacity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Episodic memory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Preoperational stage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Preconceptual substage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Intuitive substage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 Egocentrism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Centration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Transformations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Transductive reasoning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Physical knowledge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Logical thinking concepts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Classifying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Seriation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.Mental maps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Egocentric speech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 Monologue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Collective monologue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 Tag questions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Animism,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Artificialism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Finalism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Reading readiness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  Maturational theory of child development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Emergent literacy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Interactive media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 Noninteractive media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